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391299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E23B1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</w:t>
            </w:r>
            <w:r w:rsidR="00E23B16"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D7B90" w:rsidRPr="003C2E50" w:rsidRDefault="00AD7B90" w:rsidP="00AD7B90">
      <w:pPr>
        <w:autoSpaceDE w:val="0"/>
        <w:autoSpaceDN w:val="0"/>
        <w:adjustRightInd w:val="0"/>
        <w:spacing w:before="240" w:after="200" w:line="276" w:lineRule="auto"/>
        <w:jc w:val="center"/>
        <w:rPr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794"/>
        </w:trPr>
        <w:tc>
          <w:tcPr>
            <w:tcW w:w="9720" w:type="dxa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80C1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D7B90" w:rsidRPr="00E734E3" w:rsidRDefault="00AD7B90" w:rsidP="00AD7B9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31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5940"/>
      </w:tblGrid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التربية الفنية </w:t>
            </w: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كلية الفنون الجميلة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والديمقراطية/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E23B16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1/ 10/ </w:t>
            </w:r>
            <w:r w:rsidR="00E23B16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AD7B90" w:rsidRPr="00180C1E" w:rsidTr="001F7ACD">
        <w:trPr>
          <w:trHeight w:val="725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18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71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2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98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3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203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7B90" w:rsidRPr="0020555A" w:rsidRDefault="00AD7B90" w:rsidP="00AD7B9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AD7B90" w:rsidRPr="00180C1E" w:rsidTr="001F7AC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7B90" w:rsidRPr="00180C1E" w:rsidTr="001F7AC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أ1- التعريف بالنقد التاريخي لحقوق الانسان والديمقراطية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أ2- معرفة موقف الحضارات القديمة والاديان السماوية من حقوق الانسان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أ3- معرفة الاعلانات الاساسية لحقوق الانسان المحلية و العالمية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أ 4- معرفة انواع الديمقراطية .</w:t>
            </w:r>
          </w:p>
        </w:tc>
      </w:tr>
      <w:tr w:rsidR="00AD7B90" w:rsidRPr="00180C1E" w:rsidTr="001F7AC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الوصول الى القدرة على تحليل وتفسير النماذج المتعددة للمدارس الديمقراطية العالمية  .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ب2 الاجابة التامة بالحقوق الاساسية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للانسان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. </w:t>
            </w:r>
          </w:p>
          <w:p w:rsidR="00AD7B90" w:rsidRPr="00916788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ب3 القدرة على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تتحديد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ماهية حقوق الاساسية التي تتمتع بها الانسان   .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AD7B90" w:rsidRPr="00916788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</w:tr>
      <w:tr w:rsidR="00AD7B90" w:rsidRPr="00180C1E" w:rsidTr="001F7AC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اليومية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والشفهية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والفصلية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916788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AD7B90" w:rsidRPr="00180C1E" w:rsidTr="001F7AC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ج1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المهارات الحسية والبصرية من خلال مشاهدة الإعمال الشخصية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</w:tc>
      </w:tr>
      <w:tr w:rsidR="00AD7B90" w:rsidRPr="00180C1E" w:rsidTr="001F7AC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AD7B90" w:rsidRPr="00180C1E" w:rsidTr="001F7AC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AD7B90" w:rsidRPr="00E779AA" w:rsidRDefault="00AD7B90" w:rsidP="00AD7B9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D7B90" w:rsidRPr="00807DE1" w:rsidRDefault="00AD7B90" w:rsidP="00AD7B90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294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D7B90" w:rsidRPr="00180C1E" w:rsidTr="001F7ACD">
        <w:trPr>
          <w:trHeight w:val="860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القاعات الدراسية / المختبر</w:t>
            </w:r>
          </w:p>
        </w:tc>
      </w:tr>
    </w:tbl>
    <w:p w:rsidR="00AD7B90" w:rsidRDefault="00AD7B90" w:rsidP="00AD7B90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AD7B90" w:rsidRPr="00180C1E" w:rsidTr="00AD7B90">
        <w:trPr>
          <w:trHeight w:val="1266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12- خطة تطوير المقرر الدراسي </w:t>
            </w:r>
          </w:p>
          <w:p w:rsidR="00AD7B90" w:rsidRPr="00180C1E" w:rsidRDefault="00AD7B90" w:rsidP="00AD7B90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موضوعات خارجية  ذات صلة بالمادة الرئيسة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لاجل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اطلاع الطلبة على المستجدات السياسية 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لحديثة                        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B92FBF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92FBF" w:rsidRPr="00002882" w:rsidRDefault="00B92FBF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ED46F9" w:rsidRDefault="00B92FBF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الاسلام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مواصفات وواجبات الحاكم الاسلامي قراءة عهد الامام علي(ع) </w:t>
            </w:r>
            <w:r w:rsidRPr="00A00B64">
              <w:rPr>
                <w:rFonts w:cs="Times New Roman"/>
                <w:sz w:val="26"/>
                <w:szCs w:val="26"/>
                <w:rtl/>
              </w:rPr>
              <w:t>لواليه على مصر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العصور الوسطى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في العصور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الحديثة،حقوق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ال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فكر والثورات والتشريعات الحديثة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 xml:space="preserve">الافكار والنظريات السياسية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الثورات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والتشريعات،الاعترا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المعاصر بحقوق </w:t>
            </w:r>
            <w:proofErr w:type="spellStart"/>
            <w:r w:rsidRPr="00A00B64">
              <w:rPr>
                <w:rFonts w:cs="Times New Roman"/>
                <w:sz w:val="26"/>
                <w:szCs w:val="26"/>
                <w:rtl/>
              </w:rPr>
              <w:t>الانسان،الاعتراف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الدولي والاقليمي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المنظمات غير الحكو</w:t>
            </w:r>
            <w:r w:rsidRPr="00A00B64">
              <w:rPr>
                <w:rFonts w:cs="Times New Roman"/>
                <w:sz w:val="26"/>
                <w:szCs w:val="26"/>
                <w:rtl/>
              </w:rPr>
              <w:t>مية وحقوق الانسان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في المواثيق الدولية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4"/>
                <w:szCs w:val="24"/>
                <w:rtl/>
              </w:rPr>
            </w:pPr>
            <w:r w:rsidRPr="00356FB3">
              <w:rPr>
                <w:rFonts w:cs="Times New Roman"/>
                <w:sz w:val="24"/>
                <w:szCs w:val="24"/>
                <w:rtl/>
              </w:rPr>
              <w:t xml:space="preserve">الاعلان العالمي لحقوق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الانسان،العهدين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الدوليين الخاصين بحقوق </w:t>
            </w:r>
            <w:proofErr w:type="spellStart"/>
            <w:r w:rsidRPr="00A00B64">
              <w:rPr>
                <w:rFonts w:cs="Times New Roman"/>
                <w:sz w:val="24"/>
                <w:szCs w:val="24"/>
                <w:rtl/>
              </w:rPr>
              <w:t>الانسان</w:t>
            </w:r>
            <w:r w:rsidRPr="00A00B64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356FB3">
              <w:rPr>
                <w:rFonts w:cs="Times New Roman"/>
                <w:sz w:val="24"/>
                <w:szCs w:val="24"/>
                <w:rtl/>
              </w:rPr>
              <w:t>المواثيق</w:t>
            </w:r>
            <w:proofErr w:type="spellEnd"/>
            <w:r w:rsidRPr="00356FB3">
              <w:rPr>
                <w:rFonts w:cs="Times New Roman"/>
                <w:sz w:val="24"/>
                <w:szCs w:val="24"/>
                <w:rtl/>
              </w:rPr>
              <w:t xml:space="preserve"> الاقليمية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والوطنية</w:t>
            </w:r>
            <w:r w:rsidRPr="00A00B64">
              <w:rPr>
                <w:rFonts w:cs="Times New Roman"/>
                <w:sz w:val="24"/>
                <w:szCs w:val="24"/>
                <w:rtl/>
              </w:rPr>
              <w:t>،حقوق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الانسان الفردية والجماعية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Default="00B92FBF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اجيال حقوق الانسان</w:t>
            </w:r>
            <w:r w:rsidRPr="00A00B64">
              <w:rPr>
                <w:rFonts w:cs="Times New Roman"/>
                <w:sz w:val="26"/>
                <w:szCs w:val="26"/>
                <w:rtl/>
              </w:rPr>
              <w:t xml:space="preserve"> – جيل الحقوق المدنية والسياسية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جيل الحقوق الاقتصادية والاجتماعية والثقافية ،جيل حقوق الانسان الجديدة – التنمية – حق </w:t>
            </w:r>
            <w:r w:rsidRPr="00A00B64">
              <w:rPr>
                <w:rFonts w:cs="Times New Roman"/>
                <w:sz w:val="26"/>
                <w:szCs w:val="26"/>
                <w:rtl/>
              </w:rPr>
              <w:t>تقرير المصير-الحق في بيئة نظيفة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ضمانات حقوق الانسان الدستورية القضائية السياسية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والديمقراطية،مفهوم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الديمقراطية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لحرية،خصائص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ومميزات الديمقراطية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تاريخ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الديمقراطية،انواع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الديمقراطيات،الديمقراطية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المباشرة</w:t>
            </w:r>
            <w:r w:rsidRPr="00356FB3">
              <w:rPr>
                <w:rFonts w:cs="Times New Roman"/>
                <w:sz w:val="26"/>
                <w:szCs w:val="26"/>
                <w:rtl/>
              </w:rPr>
              <w:br/>
              <w:t xml:space="preserve">الديمقراطية شبه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المباشرة،الديمقراطية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النيابية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A1" w:rsidRDefault="00990EA1" w:rsidP="00090E5B">
      <w:r>
        <w:separator/>
      </w:r>
    </w:p>
  </w:endnote>
  <w:endnote w:type="continuationSeparator" w:id="0">
    <w:p w:rsidR="00990EA1" w:rsidRDefault="00990EA1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91299" w:rsidRPr="00391299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391299" w:rsidRPr="00391299">
            <w:rPr>
              <w:rFonts w:ascii="Cambria" w:hAnsi="Cambria"/>
              <w:b/>
              <w:bCs/>
              <w:noProof/>
              <w:rtl/>
              <w:lang w:val="ar-SA"/>
            </w:rPr>
            <w:t>15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A1" w:rsidRDefault="00990EA1" w:rsidP="00090E5B">
      <w:r>
        <w:separator/>
      </w:r>
    </w:p>
  </w:footnote>
  <w:footnote w:type="continuationSeparator" w:id="0">
    <w:p w:rsidR="00990EA1" w:rsidRDefault="00990EA1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7"/>
  </w:num>
  <w:num w:numId="30">
    <w:abstractNumId w:val="21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91299"/>
    <w:rsid w:val="0039636F"/>
    <w:rsid w:val="003F7BBD"/>
    <w:rsid w:val="00494274"/>
    <w:rsid w:val="004D72F2"/>
    <w:rsid w:val="004F0A55"/>
    <w:rsid w:val="00505311"/>
    <w:rsid w:val="00585149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990EA1"/>
    <w:rsid w:val="00A31C4D"/>
    <w:rsid w:val="00A8560E"/>
    <w:rsid w:val="00AD7B90"/>
    <w:rsid w:val="00AF7B77"/>
    <w:rsid w:val="00B73228"/>
    <w:rsid w:val="00B76A7A"/>
    <w:rsid w:val="00B92FBF"/>
    <w:rsid w:val="00BA4CD8"/>
    <w:rsid w:val="00CC6C9A"/>
    <w:rsid w:val="00CD6BEF"/>
    <w:rsid w:val="00E23B16"/>
    <w:rsid w:val="00E404E8"/>
    <w:rsid w:val="00F47BAB"/>
    <w:rsid w:val="00F50D29"/>
    <w:rsid w:val="00F60570"/>
    <w:rsid w:val="00F74B40"/>
    <w:rsid w:val="00FC1EFF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16</Pages>
  <Words>1687</Words>
  <Characters>9619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21</cp:revision>
  <dcterms:created xsi:type="dcterms:W3CDTF">2021-02-18T14:24:00Z</dcterms:created>
  <dcterms:modified xsi:type="dcterms:W3CDTF">2021-03-24T21:05:00Z</dcterms:modified>
</cp:coreProperties>
</file>