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6" w:rsidRDefault="00330AA2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6057900" cy="9039890"/>
            <wp:effectExtent l="0" t="0" r="0" b="0"/>
            <wp:docPr id="1" name="Picture 1" descr="67a5f053-f8fa-4a68-a40d-906f4ffc5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a5f053-f8fa-4a68-a40d-906f4ffc5b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lastRenderedPageBreak/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47E1C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اش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كال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5F48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85500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تعليم الطالب الأشكال والقوالب الموسيقية والغنائية العربية والشرقية المعروفة،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A47E1C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للاشكال الموسيقية العربية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85500D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على 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والاستماع إليها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وتطبيقها عملياً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ومشاهدتها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85500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قدرة الطلبة على معرفة وتمييز الأساليب للمؤلفات الموسيقية 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العربية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للفنانين من خلال الإستماع إليها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85500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A05C8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الناي او العود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ِ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ْ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سر الصوت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الاشكال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العربية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والتعامل من خلالها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85500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التعرف على محتوى الشكل الموسيقي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CB3C9B" w:rsidP="0032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AE17FC" w:rsidP="00BE4B9D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lang w:bidi="ar-IQ"/>
              </w:rPr>
              <w:t>F</w:t>
            </w:r>
            <w:r w:rsidR="00BE4B9D">
              <w:rPr>
                <w:b/>
                <w:bCs/>
                <w:color w:val="000000"/>
                <w:sz w:val="24"/>
                <w:szCs w:val="24"/>
                <w:lang w:bidi="ar-IQ"/>
              </w:rPr>
              <w:t>c6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3229C1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اشكال الموسيقى العربية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20653F" w:rsidP="002065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و75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2065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 =  60 عملي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DD3B04" w:rsidP="009D6721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9D6721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الحاج هاشم الرجب _ الشيخ جلال الحنفي _ المقام العراقي ،شعوبي ابراهيم _ الطرب عن العرب ،مجدي العقيلي ذ_ الدكتور صبحي ان</w:t>
            </w:r>
            <w:r w:rsidR="00903EB7" w:rsidRPr="009D6721"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>ور رشيد ،تاريخ الموسيقى العربية</w:t>
            </w:r>
            <w:r w:rsidR="00903EB7" w:rsidRPr="00C87F95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C87F9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9D672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9D672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3229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3229C1"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الثالثة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BE4B9D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BE4B9D">
              <w:rPr>
                <w:b/>
                <w:bCs/>
                <w:color w:val="000000"/>
                <w:lang w:bidi="ar-IQ"/>
              </w:rPr>
              <w:t>c6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3229C1" w:rsidP="007259E1">
            <w:pPr>
              <w:bidi w:val="0"/>
              <w:rPr>
                <w:b/>
                <w:bCs/>
                <w:rtl/>
                <w:lang w:bidi="ar-IQ"/>
              </w:rPr>
            </w:pPr>
            <w:r w:rsidRPr="00C87F95">
              <w:rPr>
                <w:rFonts w:hint="cs"/>
                <w:b/>
                <w:bCs/>
                <w:rtl/>
                <w:lang w:bidi="ar-IQ"/>
              </w:rPr>
              <w:t>اشكال الموسيقى العربية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BE4B9D" w:rsidP="00546C4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ثانوي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1412FA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9D6721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المشتركات والاختلافات في اللغة الموسيقية والتباين في الذوق السمعي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القوالب الموسيقية</w:t>
            </w:r>
            <w:r w:rsidRPr="0085500D">
              <w:rPr>
                <w:b/>
                <w:bCs/>
                <w:rtl/>
              </w:rPr>
              <w:t xml:space="preserve"> والتذوق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القوالب الموسيقية</w:t>
            </w:r>
            <w:r w:rsidRPr="0085500D">
              <w:rPr>
                <w:b/>
                <w:bCs/>
                <w:rtl/>
              </w:rPr>
              <w:t xml:space="preserve"> والتذوق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الاختلاف بين الشكل كقالب و</w:t>
            </w:r>
            <w:r w:rsidRPr="0085500D">
              <w:rPr>
                <w:b/>
                <w:bCs/>
                <w:rtl/>
                <w:lang w:bidi="ar-IQ"/>
              </w:rPr>
              <w:t xml:space="preserve">الشكل 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ك</w:t>
            </w:r>
            <w:r w:rsidRPr="0085500D">
              <w:rPr>
                <w:b/>
                <w:bCs/>
                <w:rtl/>
                <w:lang w:bidi="ar-IQ"/>
              </w:rPr>
              <w:t>نظرية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 فلسفية</w:t>
            </w:r>
            <w:r w:rsidRPr="0085500D">
              <w:rPr>
                <w:b/>
                <w:bCs/>
                <w:rtl/>
                <w:lang w:bidi="ar-IQ"/>
              </w:rPr>
              <w:t xml:space="preserve"> (الجشطالت)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</w:rPr>
              <w:t>الموسيقى التصويرية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الكبيرة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قالب السماعي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هيكل السماعي (مكوناته)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الأداء في قالب السماعي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الكبيرة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قالب السماعي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هيكل السماعي (مكوناته)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الأداء في قالب السماعي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قالب البشرف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ascii="Simplified Arabic" w:hAnsi="Simplified Arabic"/>
                <w:b/>
                <w:bCs/>
                <w:rtl/>
                <w:lang w:bidi="ar-IQ"/>
              </w:rPr>
              <w:t>قالب اللونكا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الصغيرة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الدولاب الموسيقي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التحميلة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المقدمة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246732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القوالب الموسيقية العربية الصغيرة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الدولاب الموسيقي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التحميلة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المقدمة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فن </w:t>
            </w:r>
            <w:r w:rsidRPr="0085500D">
              <w:rPr>
                <w:b/>
                <w:bCs/>
                <w:rtl/>
              </w:rPr>
              <w:t>الارتجال</w:t>
            </w:r>
            <w:r w:rsidRPr="0085500D">
              <w:rPr>
                <w:b/>
                <w:bCs/>
                <w:lang w:bidi="ar-IQ"/>
              </w:rPr>
              <w:t xml:space="preserve"> </w:t>
            </w:r>
            <w:r w:rsidRPr="0085500D">
              <w:rPr>
                <w:b/>
                <w:bCs/>
                <w:rtl/>
              </w:rPr>
              <w:t>الموسيقي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</w:rPr>
              <w:t>التقاسيم أو</w:t>
            </w:r>
            <w:r w:rsidRPr="0085500D">
              <w:rPr>
                <w:b/>
                <w:bCs/>
                <w:lang w:bidi="ar-IQ"/>
              </w:rPr>
              <w:t xml:space="preserve"> </w:t>
            </w:r>
            <w:r w:rsidRPr="0085500D">
              <w:rPr>
                <w:b/>
                <w:bCs/>
                <w:rtl/>
              </w:rPr>
              <w:t>الارتجال الحــر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لتقاسيم المقيــدة أو الارتجال المقيـ</w:t>
            </w:r>
            <w:r w:rsidRPr="0085500D">
              <w:rPr>
                <w:rFonts w:hint="cs"/>
                <w:b/>
                <w:bCs/>
                <w:rtl/>
              </w:rPr>
              <w:t>د، ا</w:t>
            </w:r>
            <w:r w:rsidRPr="0085500D">
              <w:rPr>
                <w:b/>
                <w:bCs/>
                <w:rtl/>
              </w:rPr>
              <w:t>لارتجال الصوفي</w:t>
            </w:r>
            <w:r w:rsidRPr="0085500D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hint="cs"/>
                <w:b/>
                <w:bCs/>
                <w:rtl/>
              </w:rPr>
              <w:t>الوظائف المستخدمة في فن الارتجال، التعبير الذاتي، التعبير الوظيفي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hint="cs"/>
                <w:b/>
                <w:bCs/>
                <w:rtl/>
              </w:rPr>
              <w:t>الوظائف المستخدمة في فن الارتجال، التعبير الذاتي، التعبير الوظيفي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الامتحان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903EB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903EB7" w:rsidRPr="0085500D" w:rsidRDefault="00903EB7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903EB7" w:rsidRPr="0085500D" w:rsidRDefault="0085500D" w:rsidP="0085500D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القوالب الدينية والدنيوية في العراق، </w:t>
            </w:r>
            <w:r w:rsidRPr="0085500D">
              <w:rPr>
                <w:b/>
                <w:bCs/>
                <w:rtl/>
              </w:rPr>
              <w:t>الإنشاد الديني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903EB7" w:rsidRPr="0085500D" w:rsidRDefault="00903EB7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 xml:space="preserve">القوالب الدينية والدنيوية في العراق، </w:t>
            </w:r>
            <w:r w:rsidRPr="0085500D">
              <w:rPr>
                <w:b/>
                <w:bCs/>
                <w:rtl/>
              </w:rPr>
              <w:t>الإنشاد الديني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</w:rPr>
            </w:pPr>
            <w:r w:rsidRPr="0085500D">
              <w:rPr>
                <w:b/>
                <w:bCs/>
                <w:rtl/>
              </w:rPr>
              <w:t>المناقب النبوية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</w:rPr>
              <w:t>التراتيل الكنسية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لردات الحسينية</w:t>
            </w:r>
            <w:r w:rsidRPr="0085500D">
              <w:rPr>
                <w:rFonts w:hint="cs"/>
                <w:b/>
                <w:bCs/>
                <w:rtl/>
              </w:rPr>
              <w:t>، ا</w:t>
            </w:r>
            <w:r w:rsidRPr="0085500D">
              <w:rPr>
                <w:b/>
                <w:bCs/>
                <w:rtl/>
              </w:rPr>
              <w:t>لدراويش</w:t>
            </w:r>
          </w:p>
          <w:p w:rsidR="0085500D" w:rsidRPr="0085500D" w:rsidRDefault="0085500D" w:rsidP="008550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</w:rPr>
              <w:t>القوالب الغنائية الدنيوية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المقام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</w:rPr>
              <w:t>القوالب الغنائية الدنيوية</w:t>
            </w:r>
            <w:r w:rsidRPr="0085500D">
              <w:rPr>
                <w:rFonts w:hint="cs"/>
                <w:b/>
                <w:bCs/>
                <w:rtl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المقام العراقي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الغناء الري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الغناء الري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في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الأهزوجة والأغنية الشعبية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المونولوج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</w:t>
            </w:r>
            <w:r w:rsidRPr="0085500D">
              <w:rPr>
                <w:b/>
                <w:bCs/>
                <w:rtl/>
                <w:lang w:bidi="ar-DZ"/>
              </w:rPr>
              <w:t>ل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>ب</w:t>
            </w:r>
            <w:r w:rsidRPr="0085500D">
              <w:rPr>
                <w:b/>
                <w:bCs/>
                <w:rtl/>
                <w:lang w:bidi="ar-DZ"/>
              </w:rPr>
              <w:t>ستة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الموال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المربع البغدادي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الأهزوجة والأغنية الشعبية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المونولوج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</w:t>
            </w:r>
            <w:r w:rsidRPr="0085500D">
              <w:rPr>
                <w:b/>
                <w:bCs/>
                <w:rtl/>
                <w:lang w:bidi="ar-DZ"/>
              </w:rPr>
              <w:t>ل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>ب</w:t>
            </w:r>
            <w:r w:rsidRPr="0085500D">
              <w:rPr>
                <w:b/>
                <w:bCs/>
                <w:rtl/>
                <w:lang w:bidi="ar-DZ"/>
              </w:rPr>
              <w:t>ستة</w:t>
            </w:r>
            <w:r w:rsidRPr="0085500D">
              <w:rPr>
                <w:rFonts w:hint="cs"/>
                <w:b/>
                <w:bCs/>
                <w:rtl/>
                <w:lang w:bidi="ar-DZ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الموال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 المربع البغدادي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b/>
                <w:bCs/>
                <w:rtl/>
                <w:lang w:bidi="ar-IQ"/>
              </w:rPr>
              <w:t>أنواع القوالب الغنائية العربية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القوالب الشمولية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القوالب ذات الخصوصية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>،</w:t>
            </w:r>
            <w:r w:rsidRPr="0085500D">
              <w:rPr>
                <w:b/>
                <w:bCs/>
                <w:rtl/>
                <w:lang w:bidi="ar-IQ"/>
              </w:rPr>
              <w:t xml:space="preserve"> النشيد</w:t>
            </w:r>
            <w:r w:rsidRPr="0085500D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85500D">
              <w:rPr>
                <w:b/>
                <w:bCs/>
                <w:rtl/>
                <w:lang w:bidi="ar-IQ"/>
              </w:rPr>
              <w:t>القصيدة الغنائية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أغاني الأطفال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</w:rPr>
              <w:t>أغاني الأطفال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  <w:tr w:rsidR="0085500D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85500D" w:rsidRPr="0085500D" w:rsidRDefault="0085500D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85500D" w:rsidRDefault="0085500D" w:rsidP="0085500D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  <w:rtl/>
                <w:lang w:bidi="ar-IQ"/>
              </w:rPr>
            </w:pPr>
            <w:r w:rsidRPr="0085500D"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5500D" w:rsidRPr="0085500D" w:rsidRDefault="0085500D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  وعملي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الحاج هاشم الرجب _ الشيخ جلال الحنفي _ المقام العراقي ،شعوبي ابراهيم _ الطرب عن العرب ،مجدي العقيلي ذ_ الدكتور صبحي انور رشيد ،تاريخ الموسيقى العربية  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ذات العلاقة بالمادة المدروسة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A4" w:rsidRDefault="007E4CA4">
      <w:r>
        <w:separator/>
      </w:r>
    </w:p>
  </w:endnote>
  <w:endnote w:type="continuationSeparator" w:id="0">
    <w:p w:rsidR="007E4CA4" w:rsidRDefault="007E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B55AE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3B55AE" w:rsidRPr="00807DE1">
            <w:rPr>
              <w:rFonts w:cs="Arial"/>
            </w:rPr>
            <w:fldChar w:fldCharType="separate"/>
          </w:r>
          <w:r w:rsidR="00330AA2" w:rsidRPr="00330AA2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3B55A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A4" w:rsidRDefault="007E4CA4">
      <w:r>
        <w:separator/>
      </w:r>
    </w:p>
  </w:footnote>
  <w:footnote w:type="continuationSeparator" w:id="0">
    <w:p w:rsidR="007E4CA4" w:rsidRDefault="007E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1BB8"/>
    <w:rsid w:val="00004B4B"/>
    <w:rsid w:val="00005774"/>
    <w:rsid w:val="00007B9F"/>
    <w:rsid w:val="00007E81"/>
    <w:rsid w:val="00041D69"/>
    <w:rsid w:val="00042241"/>
    <w:rsid w:val="000428A6"/>
    <w:rsid w:val="00045A4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5DB7"/>
    <w:rsid w:val="001412FA"/>
    <w:rsid w:val="001430D9"/>
    <w:rsid w:val="0014600C"/>
    <w:rsid w:val="001537A4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F032D"/>
    <w:rsid w:val="002F1537"/>
    <w:rsid w:val="002F3119"/>
    <w:rsid w:val="002F599C"/>
    <w:rsid w:val="00302E9E"/>
    <w:rsid w:val="00305509"/>
    <w:rsid w:val="0030567D"/>
    <w:rsid w:val="003068D1"/>
    <w:rsid w:val="003132A6"/>
    <w:rsid w:val="00315D7E"/>
    <w:rsid w:val="003217BA"/>
    <w:rsid w:val="003229C1"/>
    <w:rsid w:val="00327FCC"/>
    <w:rsid w:val="00330AA2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55AE"/>
    <w:rsid w:val="003B696E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8407D"/>
    <w:rsid w:val="004875DC"/>
    <w:rsid w:val="0049178F"/>
    <w:rsid w:val="004A40FE"/>
    <w:rsid w:val="004A4634"/>
    <w:rsid w:val="004A4999"/>
    <w:rsid w:val="004A6A6D"/>
    <w:rsid w:val="004B06D0"/>
    <w:rsid w:val="004B4529"/>
    <w:rsid w:val="004C0A93"/>
    <w:rsid w:val="004C0B09"/>
    <w:rsid w:val="004C6D08"/>
    <w:rsid w:val="004D2002"/>
    <w:rsid w:val="004D30AD"/>
    <w:rsid w:val="004D3497"/>
    <w:rsid w:val="004D597B"/>
    <w:rsid w:val="004E0EBA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2604"/>
    <w:rsid w:val="00534329"/>
    <w:rsid w:val="00535D14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634B3"/>
    <w:rsid w:val="00671426"/>
    <w:rsid w:val="00671EDD"/>
    <w:rsid w:val="00673FFC"/>
    <w:rsid w:val="00677895"/>
    <w:rsid w:val="00680F85"/>
    <w:rsid w:val="0068288F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E6C54"/>
    <w:rsid w:val="006F79E9"/>
    <w:rsid w:val="00713CF4"/>
    <w:rsid w:val="00713E72"/>
    <w:rsid w:val="007154A7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4CA4"/>
    <w:rsid w:val="007E65BC"/>
    <w:rsid w:val="007E744F"/>
    <w:rsid w:val="007F319C"/>
    <w:rsid w:val="00800939"/>
    <w:rsid w:val="0080250C"/>
    <w:rsid w:val="00803ADB"/>
    <w:rsid w:val="00807DE1"/>
    <w:rsid w:val="00814F2A"/>
    <w:rsid w:val="00815827"/>
    <w:rsid w:val="008215A6"/>
    <w:rsid w:val="00821CDF"/>
    <w:rsid w:val="00824FE4"/>
    <w:rsid w:val="00826962"/>
    <w:rsid w:val="0083271A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0863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73F3"/>
    <w:rsid w:val="009B150C"/>
    <w:rsid w:val="009B4D5D"/>
    <w:rsid w:val="009B609A"/>
    <w:rsid w:val="009B68B5"/>
    <w:rsid w:val="009B6FF7"/>
    <w:rsid w:val="009B7F6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5ACC"/>
    <w:rsid w:val="00A27559"/>
    <w:rsid w:val="00A30E4D"/>
    <w:rsid w:val="00A32E9F"/>
    <w:rsid w:val="00A4117E"/>
    <w:rsid w:val="00A455D2"/>
    <w:rsid w:val="00A4576A"/>
    <w:rsid w:val="00A46CB2"/>
    <w:rsid w:val="00A47E1C"/>
    <w:rsid w:val="00A57AB2"/>
    <w:rsid w:val="00A61ED1"/>
    <w:rsid w:val="00A62F04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66AD"/>
    <w:rsid w:val="00B771A2"/>
    <w:rsid w:val="00B77F09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E192B"/>
    <w:rsid w:val="00BE3F43"/>
    <w:rsid w:val="00BE4B9D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41556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3C9B"/>
    <w:rsid w:val="00CB5AF6"/>
    <w:rsid w:val="00CC2052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3A16"/>
    <w:rsid w:val="00D04817"/>
    <w:rsid w:val="00D0779D"/>
    <w:rsid w:val="00D10A6B"/>
    <w:rsid w:val="00D122BD"/>
    <w:rsid w:val="00D12D50"/>
    <w:rsid w:val="00D1550E"/>
    <w:rsid w:val="00D23280"/>
    <w:rsid w:val="00D24937"/>
    <w:rsid w:val="00D2665A"/>
    <w:rsid w:val="00D30389"/>
    <w:rsid w:val="00D30E6A"/>
    <w:rsid w:val="00D330F7"/>
    <w:rsid w:val="00D355A3"/>
    <w:rsid w:val="00D35AEC"/>
    <w:rsid w:val="00D469A0"/>
    <w:rsid w:val="00D57E7C"/>
    <w:rsid w:val="00D62564"/>
    <w:rsid w:val="00D62EB3"/>
    <w:rsid w:val="00D64F13"/>
    <w:rsid w:val="00D67953"/>
    <w:rsid w:val="00D70274"/>
    <w:rsid w:val="00D73CB8"/>
    <w:rsid w:val="00D7585F"/>
    <w:rsid w:val="00D80DD5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F18F9"/>
    <w:rsid w:val="00DF645C"/>
    <w:rsid w:val="00E017DA"/>
    <w:rsid w:val="00E0402D"/>
    <w:rsid w:val="00E146F5"/>
    <w:rsid w:val="00E1620B"/>
    <w:rsid w:val="00E17DF2"/>
    <w:rsid w:val="00E2059D"/>
    <w:rsid w:val="00E25B8C"/>
    <w:rsid w:val="00E2684E"/>
    <w:rsid w:val="00E30761"/>
    <w:rsid w:val="00E41F35"/>
    <w:rsid w:val="00E4468F"/>
    <w:rsid w:val="00E4594B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3BB4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0C9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2604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32604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57EE-75EF-4E28-A676-7221886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5</cp:revision>
  <cp:lastPrinted>2014-06-02T06:49:00Z</cp:lastPrinted>
  <dcterms:created xsi:type="dcterms:W3CDTF">2021-02-07T11:46:00Z</dcterms:created>
  <dcterms:modified xsi:type="dcterms:W3CDTF">2021-02-28T20:07:00Z</dcterms:modified>
</cp:coreProperties>
</file>